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NCA Journey: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Sage 100 ERP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Asset: Sage 100 ERP Page and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Brochure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Available in the Partner Portal</w:t>
      </w:r>
    </w:p>
    <w:p w:rsidR="00000000" w:rsidDel="00000000" w:rsidP="00000000" w:rsidRDefault="00000000" w:rsidRPr="00000000" w14:paraId="00000004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wywoglf0n66l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Email #1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To: Sage 100 ERP Clients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From: Organization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Designed - Not letter format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Subject: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Ready to Streamline Data Entry in Sage 100 ERP?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Preheader: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We can make it faster and easier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Did you know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you can Connect HR &amp; Time data in your Sage 100 ERP? 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Workforce Go provides integration that makes it possible for you to access cloud-enabled HR and Time and Labor Management, allowing you to centralize HR data and manage employee time, records, benefits, performance, and compliance all in one place. 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Workforce Go &amp; Sage 100 ERP Integration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Top Features &amp; Benefits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Automation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Error Management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Connected payroll, HR, and Time &amp; Labor Management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Centralized Data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Error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Save Time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Prepares You for Native Cloud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Learn more about Workforce Go’s functionality that can make your every day easier: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&lt;Learn More&gt;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i1v7l2c0by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etub5sfu0wg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4t9me5m6byn7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Social: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Did you know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you can Connect WorkforceGo’s HR &amp; Time data with Sage 100 ERP? 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@WorkforceGo provides integration that makes it possible for you to transfer employee data, #payroll expenses, and project costs across platforms -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seamlessly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Check out the details in the brochure: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https://www.myworkforcego.com/wp-content/uploads/2025/04/WFGO-and-Sage-100-Brochure.pdf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15jwz6ewnbsz" w:id="4"/>
      <w:bookmarkEnd w:id="4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Email #2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To: Sage 100 ERP Clients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From: Organization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Designed - Not letter format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Subject: Get More Out of Your Sage 100 ERP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Preheader: See how we can help save you time…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Save Time &amp; Increase Efficiency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sz w:val="24"/>
          <w:szCs w:val="24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Workforce Go’s Integration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with Sage 100 ERP helps you: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Streamline operations, simplify processes, and enhance collaboration by integrating cloud-based functionality that unites your people, business, and operations management into a single solution, saving time and serving your workforce more effectively.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Workforce Go Payroll, People &amp; Time includes: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Payroll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Recruiting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Onboarding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Benefit Management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Performance Management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Advanced Scheduling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Compensation Management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Learning Management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ACA Management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Time &amp; Attendance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Leave Management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Learn more about the Sage 100 ERP Integration in the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Brochure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and contact our team for a demo.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sd0txd86jb4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qtsyfk89hjr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ind w:left="0" w:firstLine="0"/>
        <w:rPr>
          <w:rFonts w:ascii="Helvetica Neue" w:cs="Helvetica Neue" w:eastAsia="Helvetica Neue" w:hAnsi="Helvetica Neue"/>
          <w:b w:val="1"/>
        </w:rPr>
      </w:pPr>
      <w:bookmarkStart w:colFirst="0" w:colLast="0" w:name="_heading=h.i6hhkv7uei81" w:id="7"/>
      <w:bookmarkEnd w:id="7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Social: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Need cloud-based HR and time management that works seamlessly with your Sage 100 ERP? 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See how you can get a seamless transfer of employee data and save time: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Check out the details in the brochure: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https://www.myworkforcego.com/wp-content/uploads/2025/04/WFGO-and-Sage-100-Brochure.pdf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#Sage100ERP #BusinessIntelligence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heading=h.ce9qpe296070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Email #3</w:t>
      </w:r>
    </w:p>
    <w:p w:rsidR="00000000" w:rsidDel="00000000" w:rsidP="00000000" w:rsidRDefault="00000000" w:rsidRPr="00000000" w14:paraId="0000006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To: Those who engaged with #1 and #2</w:t>
      </w:r>
    </w:p>
    <w:p w:rsidR="00000000" w:rsidDel="00000000" w:rsidP="00000000" w:rsidRDefault="00000000" w:rsidRPr="00000000" w14:paraId="0000006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From: Individual</w:t>
      </w:r>
    </w:p>
    <w:p w:rsidR="00000000" w:rsidDel="00000000" w:rsidP="00000000" w:rsidRDefault="00000000" w:rsidRPr="00000000" w14:paraId="0000006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Designed - Not letter format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Time Saver for my Sage 100 ERP Clients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Preheader: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Here’s some additional information…</w:t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Hi &lt;Firstname&gt;,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My team sent you information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(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about Workforce Go’s integration with Sage 100 ERP last week, and I want to make sure you saw it - it’s worth checking out. </w:t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They have developed an integration that saves you time by providing a seamless transfer of employee data, payroll expenses, and project costs across platforms. What this means for your employees is -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 more duplicate data entry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along with a range of additional features you’ll benefit from.</w:t>
      </w:r>
    </w:p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Let’s set up a time to talk, and I can fill you in on the rest. </w:t>
      </w:r>
    </w:p>
    <w:p w:rsidR="00000000" w:rsidDel="00000000" w:rsidP="00000000" w:rsidRDefault="00000000" w:rsidRPr="00000000" w14:paraId="0000007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Best,</w:t>
      </w:r>
    </w:p>
    <w:p w:rsidR="00000000" w:rsidDel="00000000" w:rsidP="00000000" w:rsidRDefault="00000000" w:rsidRPr="00000000" w14:paraId="0000007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&lt;Signature&gt;</w:t>
      </w:r>
    </w:p>
    <w:p w:rsidR="00000000" w:rsidDel="00000000" w:rsidP="00000000" w:rsidRDefault="00000000" w:rsidRPr="00000000" w14:paraId="0000007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Businesses asked, and we delivered. Get more done with enhanced cloud-based HR &amp; time management integration: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Save time with automated data sync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Enable mobile employee self-service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Access unified payroll, HR &amp; time insights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Ready to bring your Sage 100 ERP system into the cloud era without disrupting your payroll? Learn more: MyWorkforceGo.com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rFonts w:ascii="Helvetica Neue" w:cs="Helvetica Neue" w:eastAsia="Helvetica Neue" w:hAnsi="Helvetica Neue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#Sage100 #PayrollSolutions #HRTech #WorkforceManagement</w:t>
      </w:r>
    </w:p>
    <w:p w:rsidR="00000000" w:rsidDel="00000000" w:rsidP="00000000" w:rsidRDefault="00000000" w:rsidRPr="00000000" w14:paraId="0000008D">
      <w:pPr>
        <w:rPr>
          <w:color w:val="172b4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yworkforcego.com/wp-content/uploads/2025/04/WFGO-and-Sage-100-Brochure.pdf" TargetMode="External"/><Relationship Id="rId10" Type="http://schemas.openxmlformats.org/officeDocument/2006/relationships/hyperlink" Target="https://www.myworkforcego.com/integrations/sage-100/" TargetMode="External"/><Relationship Id="rId13" Type="http://schemas.openxmlformats.org/officeDocument/2006/relationships/hyperlink" Target="https://www.myworkforcego.com/integrations/sage-100/" TargetMode="External"/><Relationship Id="rId12" Type="http://schemas.openxmlformats.org/officeDocument/2006/relationships/hyperlink" Target="https://www.myworkforcego.com/wp-content/uploads/2025/04/WFGO-and-Sage-100-Brochur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workforcego.com/wp-content/uploads/2025/04/WFGO-and-Sage-100-Brochur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yworkforcego.com/wp-content/uploads/2025/04/WFGO-and-Sage-100-Brochure.pdf" TargetMode="External"/><Relationship Id="rId8" Type="http://schemas.openxmlformats.org/officeDocument/2006/relationships/hyperlink" Target="https://www.myworkforcego.com/integrations/sage-10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HTJnXTRI9cs8+MDttd+V2INeQ==">CgMxLjAyDmgud3l3b2dsZjBuNjZsMg1oLmkxdjdsMmMwYnllMg5oLmV0dWI1c2Z1MHdnMDIOaC40dDltZTVtNmJ5bjcyDmguMTVqd3o2ZXduYnN6Mg5oLnNkMHR4ZDg2amI0bDIOaC5xdHN5Zms4OWhqcmUyDmguaTZoaGt2N3VlaTgxMg5oLmNlOXFwZTI5NjA3MDgAciExQzk3MllERUlpd0NvZUVpZk5GcWZZdVM4YTJFbXpDOTk=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